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90" w:rsidRPr="00CE2790" w:rsidRDefault="00CE2790">
      <w:pPr>
        <w:pStyle w:val="ConsPlusNormal"/>
        <w:jc w:val="right"/>
        <w:outlineLvl w:val="0"/>
        <w:rPr>
          <w:color w:val="000000" w:themeColor="text1"/>
        </w:rPr>
      </w:pPr>
      <w:bookmarkStart w:id="0" w:name="_GoBack"/>
      <w:bookmarkEnd w:id="0"/>
      <w:r w:rsidRPr="00CE2790">
        <w:rPr>
          <w:color w:val="000000" w:themeColor="text1"/>
        </w:rPr>
        <w:t>Утверждено</w:t>
      </w:r>
    </w:p>
    <w:p w:rsidR="00CE2790" w:rsidRPr="00CE2790" w:rsidRDefault="00CE2790">
      <w:pPr>
        <w:pStyle w:val="ConsPlusNormal"/>
        <w:jc w:val="right"/>
        <w:rPr>
          <w:color w:val="000000" w:themeColor="text1"/>
        </w:rPr>
      </w:pPr>
      <w:r w:rsidRPr="00CE2790">
        <w:rPr>
          <w:color w:val="000000" w:themeColor="text1"/>
        </w:rPr>
        <w:t>решением</w:t>
      </w:r>
    </w:p>
    <w:p w:rsidR="00CE2790" w:rsidRPr="00CE2790" w:rsidRDefault="00CE2790">
      <w:pPr>
        <w:pStyle w:val="ConsPlusNormal"/>
        <w:jc w:val="right"/>
        <w:rPr>
          <w:color w:val="000000" w:themeColor="text1"/>
        </w:rPr>
      </w:pPr>
      <w:proofErr w:type="spellStart"/>
      <w:r w:rsidRPr="00CE2790">
        <w:rPr>
          <w:color w:val="000000" w:themeColor="text1"/>
        </w:rPr>
        <w:t>Фроловской</w:t>
      </w:r>
      <w:proofErr w:type="spellEnd"/>
      <w:r w:rsidRPr="00CE2790">
        <w:rPr>
          <w:color w:val="000000" w:themeColor="text1"/>
        </w:rPr>
        <w:t xml:space="preserve"> районной Думы</w:t>
      </w:r>
    </w:p>
    <w:p w:rsidR="00CE2790" w:rsidRPr="00CE2790" w:rsidRDefault="00CE2790">
      <w:pPr>
        <w:pStyle w:val="ConsPlusNormal"/>
        <w:jc w:val="right"/>
        <w:rPr>
          <w:color w:val="000000" w:themeColor="text1"/>
        </w:rPr>
      </w:pPr>
      <w:r w:rsidRPr="00CE2790">
        <w:rPr>
          <w:color w:val="000000" w:themeColor="text1"/>
        </w:rPr>
        <w:t>от 29 мая 2017 г. N 42/313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Title"/>
        <w:jc w:val="center"/>
        <w:rPr>
          <w:color w:val="000000" w:themeColor="text1"/>
        </w:rPr>
      </w:pPr>
      <w:bookmarkStart w:id="1" w:name="P32"/>
      <w:bookmarkEnd w:id="1"/>
      <w:r w:rsidRPr="00CE2790">
        <w:rPr>
          <w:color w:val="000000" w:themeColor="text1"/>
        </w:rPr>
        <w:t>ПОЛОЖЕНИЕ</w:t>
      </w:r>
    </w:p>
    <w:p w:rsidR="00CE2790" w:rsidRPr="00CE2790" w:rsidRDefault="00CE2790">
      <w:pPr>
        <w:pStyle w:val="ConsPlusTitle"/>
        <w:jc w:val="center"/>
        <w:rPr>
          <w:color w:val="000000" w:themeColor="text1"/>
        </w:rPr>
      </w:pPr>
      <w:r w:rsidRPr="00CE2790">
        <w:rPr>
          <w:color w:val="000000" w:themeColor="text1"/>
        </w:rPr>
        <w:t>О ВВЕДЕНИИ СИСТЕМЫ НАЛОГООБЛОЖЕНИЯ В ВИДЕ ЕДИНОГО НАЛОГА</w:t>
      </w:r>
    </w:p>
    <w:p w:rsidR="00CE2790" w:rsidRPr="00CE2790" w:rsidRDefault="00CE2790">
      <w:pPr>
        <w:pStyle w:val="ConsPlusTitle"/>
        <w:jc w:val="center"/>
        <w:rPr>
          <w:color w:val="000000" w:themeColor="text1"/>
        </w:rPr>
      </w:pPr>
      <w:r w:rsidRPr="00CE2790">
        <w:rPr>
          <w:color w:val="000000" w:themeColor="text1"/>
        </w:rPr>
        <w:t>НА ВМЕНЕННЫЙ ДОХОД ДЛЯ ОТДЕЛЬНЫХ ВИДОВ ДЕЯТЕЛЬНОСТИ</w:t>
      </w:r>
    </w:p>
    <w:p w:rsidR="00CE2790" w:rsidRPr="00CE2790" w:rsidRDefault="00CE2790">
      <w:pPr>
        <w:pStyle w:val="ConsPlusTitle"/>
        <w:jc w:val="center"/>
        <w:rPr>
          <w:color w:val="000000" w:themeColor="text1"/>
        </w:rPr>
      </w:pPr>
      <w:r w:rsidRPr="00CE2790">
        <w:rPr>
          <w:color w:val="000000" w:themeColor="text1"/>
        </w:rPr>
        <w:t>НА ТЕРРИТОРИИ ФРОЛОВСКОГО МУНИЦИПАЛЬНОГО РАЙОНА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Normal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CE2790">
        <w:rPr>
          <w:color w:val="000000" w:themeColor="text1"/>
        </w:rPr>
        <w:t>Фроловского</w:t>
      </w:r>
      <w:proofErr w:type="spellEnd"/>
      <w:r w:rsidRPr="00CE2790">
        <w:rPr>
          <w:color w:val="000000" w:themeColor="text1"/>
        </w:rPr>
        <w:t xml:space="preserve">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1.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Единый налог на территории </w:t>
      </w:r>
      <w:proofErr w:type="spellStart"/>
      <w:r w:rsidRPr="00CE2790">
        <w:rPr>
          <w:color w:val="000000" w:themeColor="text1"/>
        </w:rPr>
        <w:t>Фроловского</w:t>
      </w:r>
      <w:proofErr w:type="spellEnd"/>
      <w:r w:rsidRPr="00CE2790">
        <w:rPr>
          <w:color w:val="000000" w:themeColor="text1"/>
        </w:rPr>
        <w:t xml:space="preserve"> муниципального района применяется в отношении следующих видов предпринимательской деятельности: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4" w:history="1">
        <w:r w:rsidRPr="00CE2790">
          <w:rPr>
            <w:color w:val="000000" w:themeColor="text1"/>
          </w:rPr>
          <w:t>классификатором</w:t>
        </w:r>
      </w:hyperlink>
      <w:r w:rsidRPr="00CE2790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5" w:history="1">
        <w:r w:rsidRPr="00CE2790">
          <w:rPr>
            <w:color w:val="000000" w:themeColor="text1"/>
          </w:rPr>
          <w:t>классификатором</w:t>
        </w:r>
      </w:hyperlink>
      <w:r w:rsidRPr="00CE2790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2) оказания ветеринарных услуг;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11) размещения рекламы с использованием внешних и внутренних поверхностей </w:t>
      </w:r>
      <w:r w:rsidRPr="00CE2790">
        <w:rPr>
          <w:color w:val="000000" w:themeColor="text1"/>
        </w:rPr>
        <w:lastRenderedPageBreak/>
        <w:t>транспортных средств;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Normal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К2 = </w:t>
      </w:r>
      <w:proofErr w:type="spellStart"/>
      <w:r w:rsidRPr="00CE2790">
        <w:rPr>
          <w:color w:val="000000" w:themeColor="text1"/>
        </w:rPr>
        <w:t>Кас</w:t>
      </w:r>
      <w:proofErr w:type="spellEnd"/>
      <w:r w:rsidRPr="00CE2790">
        <w:rPr>
          <w:color w:val="000000" w:themeColor="text1"/>
        </w:rPr>
        <w:t xml:space="preserve"> x Км x Кио, где: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CE2790">
        <w:rPr>
          <w:color w:val="000000" w:themeColor="text1"/>
        </w:rPr>
        <w:t>Кас</w:t>
      </w:r>
      <w:proofErr w:type="spellEnd"/>
      <w:r w:rsidRPr="00CE2790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Кио - коэффициент, учитывающий иные особенности ведения предпринимательской деятельности.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CE2790">
        <w:rPr>
          <w:color w:val="000000" w:themeColor="text1"/>
        </w:rPr>
        <w:t>Кас</w:t>
      </w:r>
      <w:proofErr w:type="spellEnd"/>
      <w:r w:rsidRPr="00CE2790">
        <w:rPr>
          <w:color w:val="000000" w:themeColor="text1"/>
        </w:rPr>
        <w:t xml:space="preserve">), согласно </w:t>
      </w:r>
      <w:hyperlink w:anchor="P63" w:history="1">
        <w:r w:rsidRPr="00CE2790">
          <w:rPr>
            <w:color w:val="000000" w:themeColor="text1"/>
          </w:rPr>
          <w:t>таблице</w:t>
        </w:r>
      </w:hyperlink>
      <w:r w:rsidRPr="00CE2790">
        <w:rPr>
          <w:color w:val="000000" w:themeColor="text1"/>
        </w:rPr>
        <w:t xml:space="preserve"> в следующих размерах: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Normal"/>
        <w:jc w:val="right"/>
        <w:rPr>
          <w:color w:val="000000" w:themeColor="text1"/>
        </w:rPr>
      </w:pPr>
      <w:bookmarkStart w:id="2" w:name="P63"/>
      <w:bookmarkEnd w:id="2"/>
      <w:r w:rsidRPr="00CE2790">
        <w:rPr>
          <w:color w:val="000000" w:themeColor="text1"/>
        </w:rPr>
        <w:t>Таблица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576"/>
        <w:gridCol w:w="1485"/>
      </w:tblGrid>
      <w:tr w:rsidR="00CE2790" w:rsidRPr="00CE2790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N</w:t>
            </w:r>
          </w:p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Наименование платных услуг населению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 xml:space="preserve">Значение </w:t>
            </w:r>
            <w:proofErr w:type="spellStart"/>
            <w:r w:rsidRPr="00CE2790">
              <w:rPr>
                <w:color w:val="000000" w:themeColor="text1"/>
              </w:rPr>
              <w:t>Кас</w:t>
            </w:r>
            <w:proofErr w:type="spellEnd"/>
          </w:p>
        </w:tc>
      </w:tr>
      <w:tr w:rsidR="00CE2790" w:rsidRPr="00CE2790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обуви и прочих изделий из кожи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0,21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и пошив швейных меховых и кожаных изделий, головных уборов и изделий текстильной галантереи, пошив и вязание трикотажных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2.1.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одежды и текстильных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0,24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2.2.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трикотажных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0,30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2.3.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текстильных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0,20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бытовой техники, машин и оборудования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0,41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электронной бытовой техники, компьютеров и периферийного компьютерного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0,68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часов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0,18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3.4.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предметов и изделий из металла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0,44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3.5.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ювелирных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4.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Изготовление и ремонт мебели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4.1.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Изготовление прочей мебели и отдельных мебельных деталей,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0,8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4.2.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мебели и предметов домашнего обихода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0,50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4.3.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Стирка и химическая чистка текстильных и меховых изделий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0,18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5.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Ремонт и строительство жилья и других построек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5.1.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Строительство жилых и нежилых зданий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5.2.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Производство работ по внутренней отделке зданий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0,9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5.3.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Производство электромонтажных работ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5.4.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Работы столярные и плотничные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0,8</w:t>
            </w:r>
          </w:p>
        </w:tc>
      </w:tr>
      <w:tr w:rsidR="00CE2790" w:rsidRPr="00CE2790" w:rsidTr="00CE2790">
        <w:tblPrEx>
          <w:tblBorders>
            <w:insideH w:val="none" w:sz="0" w:space="0" w:color="auto"/>
          </w:tblBorders>
        </w:tblPrEx>
        <w:trPr>
          <w:trHeight w:val="758"/>
        </w:trPr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6.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025" w:type="dxa"/>
            <w:gridSpan w:val="3"/>
            <w:tcBorders>
              <w:top w:val="nil"/>
              <w:bottom w:val="nil"/>
            </w:tcBorders>
          </w:tcPr>
          <w:p w:rsidR="00CE2790" w:rsidRPr="00CE2790" w:rsidRDefault="00CE2790" w:rsidP="00CE2790">
            <w:pPr>
              <w:pStyle w:val="ConsPlusNormal"/>
              <w:ind w:firstLine="540"/>
              <w:jc w:val="both"/>
              <w:rPr>
                <w:color w:val="000000" w:themeColor="text1"/>
                <w:sz w:val="2"/>
                <w:szCs w:val="2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6.2.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Мойка автотранспортных средств и предоставление аналогичных услуг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6.3.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в области фотографии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0,32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7.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7.1.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Предоставление парикмахерских услуг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0,50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7.2.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0,50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8.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8.1.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Организация похорон и предоставление связанных с ними услуг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0,41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9.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9.1.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сухопутного пассажирского транспорта: Внутригородские и пригородные перевозки пассажиров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9.2.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такси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9.3.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 xml:space="preserve">Перевозка грузов специализированными автотранспортными </w:t>
            </w:r>
            <w:r w:rsidRPr="00CE2790">
              <w:rPr>
                <w:color w:val="000000" w:themeColor="text1"/>
              </w:rPr>
              <w:lastRenderedPageBreak/>
              <w:t>средствами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lastRenderedPageBreak/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lastRenderedPageBreak/>
              <w:t>9.4.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Предоставление услуг по перевозкам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9.5.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стоянок для транспортных средств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10.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Услуги гостиниц и аналогичных средств размещения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10.1.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гостиниц и прочих мест для временного проживания по предоставлению мест для временного проживания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10.2.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Медицинские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11.1.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Общая врачебная практика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11.2.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Стоматологическая практика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11.3.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ветеринарная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0,5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Прочие платные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12.1.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12.2.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по оказанию услуг в области бухгалтерского учета по проведению финансового аудита, по налоговому консультированию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12.3.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Землеустройство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розничная, кроме торговли автотранспортными, в том числе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в неспециализированных магазинах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13.3.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13.4.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13.5.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13.6.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  <w:tr w:rsidR="00CE2790" w:rsidRPr="00CE2790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14.</w:t>
            </w:r>
          </w:p>
        </w:tc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Деятельность по предоставлению продуктов питания и напитков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CE2790" w:rsidRPr="00CE2790" w:rsidRDefault="00CE2790">
            <w:pPr>
              <w:pStyle w:val="ConsPlusNormal"/>
              <w:jc w:val="center"/>
              <w:rPr>
                <w:color w:val="000000" w:themeColor="text1"/>
              </w:rPr>
            </w:pPr>
            <w:r w:rsidRPr="00CE2790">
              <w:rPr>
                <w:color w:val="000000" w:themeColor="text1"/>
              </w:rPr>
              <w:t>1,0</w:t>
            </w:r>
          </w:p>
        </w:tc>
      </w:tr>
    </w:tbl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p w:rsidR="00CE2790" w:rsidRPr="00CE2790" w:rsidRDefault="00CE2790">
      <w:pPr>
        <w:pStyle w:val="ConsPlusNormal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4. Установить значение коэффициента (Км), учитывающего особенности места ведения предпринимательской деятельности, в следующих размерах: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lastRenderedPageBreak/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300 человек;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б) Км = 0,34 - для организаций и индивидуальных предпринимателей, осуществляющих свою деятельность в сельских населенных пунктах с численностью населения до 1000 человек;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в) Км = 0,50 - для организаций и индивидуальных предпринимателей, осуществляющих свою деятельность в сельских населенных пунктах с численностью населения 1000 и более человек.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5. Установить значение коэффициента, учитывающего иные особенности ведения предпринимательской деятельности, "Кио", в следующих размерах: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44"/>
      <w:bookmarkEnd w:id="3"/>
      <w:r w:rsidRPr="00CE2790">
        <w:rPr>
          <w:color w:val="000000" w:themeColor="text1"/>
        </w:rPr>
        <w:t>а) Кио = 0,5, применяется индивидуальными предпринимателями, не использующими труд наемных работников: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инвалидами I группы;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инвалидами II группы;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общеобразовательных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249"/>
      <w:bookmarkEnd w:id="4"/>
      <w:r w:rsidRPr="00CE2790">
        <w:rPr>
          <w:color w:val="000000" w:themeColor="text1"/>
        </w:rPr>
        <w:t>г) Кио = 0,5, применяется общественными организациями, среди членов которых инвалиды и их законные представители составляют не менее 80%;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250"/>
      <w:bookmarkEnd w:id="5"/>
      <w:r w:rsidRPr="00CE2790">
        <w:rPr>
          <w:color w:val="000000" w:themeColor="text1"/>
        </w:rPr>
        <w:t>д) Кио = 0,75, применяется индивидуальными предпринимателями, не использующими труд наемных работников: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одним из родителей многодетной семьи;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членами семейных детских домов;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одинокими матерями, на содержании которых находится ребенок-инвалид;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е) Кио = 0,1, применяется организациями, осуществляющими розничную торговлю лекарственными препаратами в населенных пунктах с численностью населения до 500 чел.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>Кио = 1, применяется для всех остальных категорий налогоплательщиков.</w:t>
      </w:r>
    </w:p>
    <w:p w:rsidR="00CE2790" w:rsidRPr="00CE2790" w:rsidRDefault="00CE279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E2790">
        <w:rPr>
          <w:color w:val="000000" w:themeColor="text1"/>
        </w:rPr>
        <w:t xml:space="preserve">Право на применение коэффициентов, указанных в </w:t>
      </w:r>
      <w:hyperlink w:anchor="P244" w:history="1">
        <w:r w:rsidRPr="00CE2790">
          <w:rPr>
            <w:color w:val="000000" w:themeColor="text1"/>
          </w:rPr>
          <w:t>подпунктах "а"</w:t>
        </w:r>
      </w:hyperlink>
      <w:r w:rsidRPr="00CE2790">
        <w:rPr>
          <w:color w:val="000000" w:themeColor="text1"/>
        </w:rPr>
        <w:t xml:space="preserve"> и </w:t>
      </w:r>
      <w:hyperlink w:anchor="P250" w:history="1">
        <w:r w:rsidRPr="00CE2790">
          <w:rPr>
            <w:color w:val="000000" w:themeColor="text1"/>
          </w:rPr>
          <w:t>"д" пункта 5</w:t>
        </w:r>
      </w:hyperlink>
      <w:r w:rsidRPr="00CE2790">
        <w:rPr>
          <w:color w:val="000000" w:themeColor="text1"/>
        </w:rPr>
        <w:t xml:space="preserve">, подтверждается соответствующими документами. При наличии у индивидуального </w:t>
      </w:r>
      <w:r w:rsidRPr="00CE2790">
        <w:rPr>
          <w:color w:val="000000" w:themeColor="text1"/>
        </w:rPr>
        <w:lastRenderedPageBreak/>
        <w:t xml:space="preserve">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44" w:history="1">
        <w:r w:rsidRPr="00CE2790">
          <w:rPr>
            <w:color w:val="000000" w:themeColor="text1"/>
          </w:rPr>
          <w:t>подпунктами "а"</w:t>
        </w:r>
      </w:hyperlink>
      <w:r w:rsidRPr="00CE2790">
        <w:rPr>
          <w:color w:val="000000" w:themeColor="text1"/>
        </w:rPr>
        <w:t xml:space="preserve"> и </w:t>
      </w:r>
      <w:hyperlink w:anchor="P249" w:history="1">
        <w:r w:rsidRPr="00CE2790">
          <w:rPr>
            <w:color w:val="000000" w:themeColor="text1"/>
          </w:rPr>
          <w:t>"г" пункта 5</w:t>
        </w:r>
      </w:hyperlink>
      <w:r w:rsidRPr="00CE2790">
        <w:rPr>
          <w:color w:val="000000" w:themeColor="text1"/>
        </w:rPr>
        <w:t>, применяется наименьший коэффициент.</w:t>
      </w:r>
    </w:p>
    <w:p w:rsidR="00CE2790" w:rsidRPr="00CE2790" w:rsidRDefault="00CE2790">
      <w:pPr>
        <w:pStyle w:val="ConsPlusNormal"/>
        <w:jc w:val="both"/>
        <w:rPr>
          <w:color w:val="000000" w:themeColor="text1"/>
        </w:rPr>
      </w:pPr>
    </w:p>
    <w:sectPr w:rsidR="00CE2790" w:rsidRPr="00CE2790" w:rsidSect="00C7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90"/>
    <w:rsid w:val="00CE2790"/>
    <w:rsid w:val="00D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E7E07A-5B0A-41FD-92B8-A3D87658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38B72B623FE5AE213AA3963F4745C3B4C4A6F00DD8BF642AFE9E1B3Db2wFM" TargetMode="External"/><Relationship Id="rId4" Type="http://schemas.openxmlformats.org/officeDocument/2006/relationships/hyperlink" Target="consultantplus://offline/ref=6438B72B623FE5AE213AA3963F4745C3B4C4A6F002DCBF642AFE9E1B3Db2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2017-08-23T12:48:00Z</dcterms:created>
  <dcterms:modified xsi:type="dcterms:W3CDTF">2017-08-23T12:57:00Z</dcterms:modified>
</cp:coreProperties>
</file>